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黑体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color w:val="000000"/>
          <w:sz w:val="28"/>
          <w:szCs w:val="28"/>
          <w:lang w:bidi="ar"/>
        </w:rPr>
        <w:t>附件7：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Times New Roman" w:hAnsi="Times New Roman" w:cs="宋体"/>
          <w:b/>
          <w:color w:val="000000"/>
          <w:sz w:val="36"/>
          <w:szCs w:val="36"/>
          <w:lang w:bidi="ar"/>
        </w:rPr>
        <w:t>电动摩托车及零部件产品检测收费价格表</w:t>
      </w:r>
    </w:p>
    <w:tbl>
      <w:tblPr>
        <w:tblStyle w:val="3"/>
        <w:tblW w:w="874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525"/>
        <w:gridCol w:w="1289"/>
        <w:gridCol w:w="1794"/>
        <w:gridCol w:w="1531"/>
        <w:gridCol w:w="17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检测项目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依据标准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收费金额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（元）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电磁场发射强度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GB/T 18387-20</w:t>
            </w:r>
            <w:r>
              <w:rPr>
                <w:rFonts w:hint="eastAsia" w:ascii="Times New Roman" w:hAnsi="Times New Roman"/>
                <w:szCs w:val="21"/>
                <w:lang w:bidi="ar"/>
              </w:rPr>
              <w:t>17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10000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2</w:t>
            </w:r>
          </w:p>
        </w:tc>
        <w:tc>
          <w:tcPr>
            <w:tcW w:w="281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电动摩托车续驶里程、能量消耗率和残电指示</w:t>
            </w:r>
          </w:p>
        </w:tc>
        <w:tc>
          <w:tcPr>
            <w:tcW w:w="179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GB/T</w:t>
            </w:r>
            <w:r>
              <w:rPr>
                <w:rFonts w:hint="eastAsia" w:ascii="Times New Roman" w:hAnsi="Times New Roman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szCs w:val="21"/>
                <w:lang w:bidi="ar"/>
              </w:rPr>
              <w:t>24157-20</w:t>
            </w:r>
            <w:r>
              <w:rPr>
                <w:rFonts w:hint="eastAsia" w:ascii="Times New Roman" w:hAnsi="Times New Roman"/>
                <w:szCs w:val="21"/>
                <w:lang w:bidi="ar"/>
              </w:rPr>
              <w:t>17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bidi="ar"/>
              </w:rPr>
              <w:t>9500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Cs w:val="21"/>
                <w:lang w:bidi="ar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szCs w:val="21"/>
                <w:lang w:bidi="ar"/>
              </w:rPr>
              <w:t>14250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szCs w:val="21"/>
                <w:lang w:bidi="ar"/>
              </w:rPr>
              <w:t>电池额定容量≥3千瓦时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3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宋体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一般要求</w:t>
            </w:r>
          </w:p>
        </w:tc>
        <w:tc>
          <w:tcPr>
            <w:tcW w:w="179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GB 24155-20</w:t>
            </w: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20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50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宋体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电气安全要求（动力蓄电池）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200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电气安全要求（带电部分的触电防护）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400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电气安全要求（</w:t>
            </w:r>
            <w:r>
              <w:rPr>
                <w:rFonts w:hint="eastAsia" w:ascii="Times New Roman" w:hAnsi="Times New Roman" w:cs="宋体"/>
                <w:szCs w:val="21"/>
                <w:lang w:bidi="ar"/>
              </w:rPr>
              <w:t>外露可导电部</w:t>
            </w: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分的触电保护）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50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电气安全要求（电动摩托车与充电电源连接要求）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50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电气安全要求（过流保护装置）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50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宋体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操作安全要求（起动）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50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操作安全要求（行驶和停车）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250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宋体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标志和警示语要求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50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宋体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外露可导电部件电位均衡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300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宋体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外露可导电部件与B级电压系统之间的绝缘电阻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50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宋体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绝缘电阻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5000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宋体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剩余电量显示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1000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宋体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车载充电机的输入端的耐电压及绝缘电阻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1000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bidi="ar"/>
              </w:rPr>
              <w:t>4</w:t>
            </w:r>
          </w:p>
        </w:tc>
        <w:tc>
          <w:tcPr>
            <w:tcW w:w="1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电机及控制器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性能</w:t>
            </w:r>
          </w:p>
        </w:tc>
        <w:tc>
          <w:tcPr>
            <w:tcW w:w="17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QC/T 792-2007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bidi="ar"/>
              </w:rPr>
              <w:t>30</w:t>
            </w:r>
            <w:r>
              <w:rPr>
                <w:rFonts w:ascii="Times New Roman" w:hAnsi="Times New Roman"/>
                <w:szCs w:val="21"/>
                <w:lang w:bidi="ar"/>
              </w:rPr>
              <w:t>000</w:t>
            </w:r>
          </w:p>
        </w:tc>
        <w:tc>
          <w:tcPr>
            <w:tcW w:w="17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寿命</w:t>
            </w:r>
          </w:p>
        </w:tc>
        <w:tc>
          <w:tcPr>
            <w:tcW w:w="17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200</w:t>
            </w:r>
            <w:r>
              <w:rPr>
                <w:rFonts w:hint="eastAsia" w:ascii="Times New Roman" w:hAnsi="Times New Roman" w:cs="宋体"/>
                <w:szCs w:val="21"/>
                <w:lang w:bidi="ar"/>
              </w:rPr>
              <w:t>元</w:t>
            </w:r>
            <w:r>
              <w:rPr>
                <w:rFonts w:ascii="Times New Roman" w:hAnsi="Times New Roman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cs="宋体"/>
                <w:szCs w:val="21"/>
                <w:lang w:bidi="ar"/>
              </w:rPr>
              <w:t>小时</w:t>
            </w:r>
          </w:p>
        </w:tc>
        <w:tc>
          <w:tcPr>
            <w:tcW w:w="1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车辆识别代号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车辆标志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7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摩托车外廓尺寸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8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侧倾稳定角（仅三轮车使用）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9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车速受限车辆的最高车速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10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车速表指示误差值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11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转向轴轴荷比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12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三轮车辆整车整备质量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13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乘坐人数核定（两轮</w:t>
            </w:r>
            <w:r>
              <w:rPr>
                <w:rFonts w:ascii="Times New Roman" w:hAnsi="Times New Roman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cs="宋体"/>
                <w:szCs w:val="21"/>
                <w:lang w:bidi="ar"/>
              </w:rPr>
              <w:t>三轮</w:t>
            </w:r>
            <w:r>
              <w:rPr>
                <w:rFonts w:ascii="Times New Roman" w:hAnsi="Times New Roman"/>
                <w:szCs w:val="21"/>
                <w:lang w:bidi="ar"/>
              </w:rPr>
              <w:t>)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14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转向装置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15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前照灯光束照射位置及发光强度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16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喇叭安装性能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17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安全防护装置（两轮</w:t>
            </w:r>
            <w:r>
              <w:rPr>
                <w:rFonts w:ascii="Times New Roman" w:hAnsi="Times New Roman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cs="宋体"/>
                <w:szCs w:val="21"/>
                <w:lang w:bidi="ar"/>
              </w:rPr>
              <w:t>三轮</w:t>
            </w:r>
            <w:r>
              <w:rPr>
                <w:rFonts w:ascii="Times New Roman" w:hAnsi="Times New Roman"/>
                <w:szCs w:val="21"/>
                <w:lang w:bidi="ar"/>
              </w:rPr>
              <w:t>)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18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操纵件、指示器及信号装置的图形符号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19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驻车性能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20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后视镜/间接视野装置安装要求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21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转向锁止防盗装置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bidi="ar"/>
              </w:rPr>
              <w:t>22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照明和光信号装置的安装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外部凸出物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乘员扶手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电磁兼容性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color w:val="0000FF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制动性能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FF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FF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27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前照灯、前转向信号灯、后转向灯、前位灯、后位灯、制动灯、后牌照灯、前雾灯、后雾灯、倒车灯配光性能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28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回复反射器性能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29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后视镜/间接视野装置性能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30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喇叭性能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Chars="-21" w:hanging="44" w:hangingChars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制动软管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Chars="-21" w:hanging="44" w:hangingChars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</w:tbl>
    <w:p>
      <w:pPr>
        <w:spacing w:line="360" w:lineRule="auto"/>
        <w:rPr>
          <w:sz w:val="24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91"/>
    <w:rsid w:val="00C64891"/>
    <w:rsid w:val="00FD7F0C"/>
    <w:rsid w:val="063D40EF"/>
    <w:rsid w:val="0A2672DF"/>
    <w:rsid w:val="18C32B67"/>
    <w:rsid w:val="28D84E6C"/>
    <w:rsid w:val="350F14D3"/>
    <w:rsid w:val="3C9B1F9A"/>
    <w:rsid w:val="47E42544"/>
    <w:rsid w:val="4AC82C32"/>
    <w:rsid w:val="4C7152EE"/>
    <w:rsid w:val="50F63A17"/>
    <w:rsid w:val="54D254F2"/>
    <w:rsid w:val="5AB95762"/>
    <w:rsid w:val="66E26495"/>
    <w:rsid w:val="67883C0F"/>
    <w:rsid w:val="7D8B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153</Words>
  <Characters>873</Characters>
  <Lines>7</Lines>
  <Paragraphs>2</Paragraphs>
  <TotalTime>10</TotalTime>
  <ScaleCrop>false</ScaleCrop>
  <LinksUpToDate>false</LinksUpToDate>
  <CharactersWithSpaces>1024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2020-06-05T05:49:00Z</dcterms:created>
  <dc:creator>张茹</dc:creator>
  <cp:lastModifiedBy>王臻</cp:lastModifiedBy>
  <dcterms:modified xsi:type="dcterms:W3CDTF">2021-04-29T06:56:46Z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